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AA" w:rsidRDefault="005E01AA" w:rsidP="005E01AA">
      <w:pPr>
        <w:spacing w:after="0" w:line="220" w:lineRule="atLeast"/>
        <w:jc w:val="right"/>
        <w:rPr>
          <w:rFonts w:ascii="Arial Narrow" w:eastAsia="Times New Roman" w:hAnsi="Arial Narrow" w:cs="Times New Roman"/>
          <w:i/>
          <w:sz w:val="20"/>
          <w:szCs w:val="20"/>
        </w:rPr>
      </w:pPr>
    </w:p>
    <w:p w:rsidR="005E01AA" w:rsidRDefault="005E01AA" w:rsidP="005E01AA">
      <w:pPr>
        <w:ind w:left="6372" w:firstLine="708"/>
        <w:rPr>
          <w:rFonts w:ascii="Times New Roman" w:eastAsia="Times New Roman" w:hAnsi="Times New Roman" w:cs="Times New Roman"/>
          <w:i/>
          <w:szCs w:val="20"/>
        </w:rPr>
      </w:pPr>
      <w:r w:rsidRPr="004308E5">
        <w:rPr>
          <w:rFonts w:ascii="Times New Roman" w:eastAsia="Times New Roman" w:hAnsi="Times New Roman" w:cs="Times New Roman"/>
          <w:i/>
          <w:szCs w:val="20"/>
        </w:rPr>
        <w:t>Príloha č. 2 výzvy - Špecifikácia oprávnenej aktivity a</w:t>
      </w:r>
      <w:r>
        <w:rPr>
          <w:rFonts w:ascii="Times New Roman" w:eastAsia="Times New Roman" w:hAnsi="Times New Roman" w:cs="Times New Roman"/>
          <w:i/>
          <w:szCs w:val="20"/>
        </w:rPr>
        <w:t> </w:t>
      </w:r>
      <w:r w:rsidRPr="004308E5">
        <w:rPr>
          <w:rFonts w:ascii="Times New Roman" w:eastAsia="Times New Roman" w:hAnsi="Times New Roman" w:cs="Times New Roman"/>
          <w:i/>
          <w:szCs w:val="20"/>
        </w:rPr>
        <w:t>oprávnených</w:t>
      </w:r>
    </w:p>
    <w:p w:rsidR="005E01AA" w:rsidRPr="005E01AA" w:rsidRDefault="005E01AA" w:rsidP="005E01AA">
      <w:pPr>
        <w:spacing w:after="0" w:line="220" w:lineRule="atLeast"/>
        <w:jc w:val="right"/>
        <w:rPr>
          <w:rFonts w:ascii="Arial Narrow" w:eastAsia="Times New Roman" w:hAnsi="Arial Narrow" w:cs="Times New Roman"/>
          <w:i/>
          <w:sz w:val="20"/>
          <w:szCs w:val="20"/>
        </w:rPr>
      </w:pPr>
      <w:r w:rsidRPr="004308E5"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1" locked="0" layoutInCell="1" allowOverlap="1" wp14:anchorId="584B338E" wp14:editId="5805A474">
            <wp:simplePos x="0" y="0"/>
            <wp:positionH relativeFrom="column">
              <wp:posOffset>556895</wp:posOffset>
            </wp:positionH>
            <wp:positionV relativeFrom="paragraph">
              <wp:posOffset>-817245</wp:posOffset>
            </wp:positionV>
            <wp:extent cx="561975" cy="471170"/>
            <wp:effectExtent l="0" t="0" r="9525" b="5080"/>
            <wp:wrapTight wrapText="bothSides">
              <wp:wrapPolygon edited="0">
                <wp:start x="2197" y="0"/>
                <wp:lineTo x="0" y="13973"/>
                <wp:lineTo x="0" y="19213"/>
                <wp:lineTo x="4393" y="20960"/>
                <wp:lineTo x="16108" y="20960"/>
                <wp:lineTo x="21234" y="19213"/>
                <wp:lineTo x="21234" y="13973"/>
                <wp:lineTo x="17573" y="13973"/>
                <wp:lineTo x="19769" y="9606"/>
                <wp:lineTo x="19037" y="0"/>
                <wp:lineTo x="2197" y="0"/>
              </wp:wrapPolygon>
            </wp:wrapTight>
            <wp:docPr id="2" name="Obrázok 1" descr="logo IROP 2014-2020_verzi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ROP 2014-2020_verzia 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08E5">
        <w:rPr>
          <w:rFonts w:ascii="Times New Roman" w:eastAsia="Times New Roman" w:hAnsi="Times New Roman" w:cs="Times New Roman"/>
          <w:i/>
          <w:noProof/>
          <w:sz w:val="18"/>
          <w:szCs w:val="20"/>
          <w:lang w:eastAsia="sk-SK"/>
        </w:rPr>
        <w:drawing>
          <wp:anchor distT="0" distB="0" distL="114300" distR="114300" simplePos="0" relativeHeight="251661312" behindDoc="1" locked="0" layoutInCell="1" allowOverlap="1" wp14:anchorId="6B82D61F" wp14:editId="155D5741">
            <wp:simplePos x="0" y="0"/>
            <wp:positionH relativeFrom="column">
              <wp:posOffset>3168650</wp:posOffset>
            </wp:positionH>
            <wp:positionV relativeFrom="paragraph">
              <wp:posOffset>-743585</wp:posOffset>
            </wp:positionV>
            <wp:extent cx="1691005" cy="390525"/>
            <wp:effectExtent l="0" t="0" r="4445" b="9525"/>
            <wp:wrapTight wrapText="bothSides">
              <wp:wrapPolygon edited="0">
                <wp:start x="0" y="0"/>
                <wp:lineTo x="0" y="13698"/>
                <wp:lineTo x="2677" y="16859"/>
                <wp:lineTo x="2677" y="21073"/>
                <wp:lineTo x="15573" y="21073"/>
                <wp:lineTo x="16303" y="16859"/>
                <wp:lineTo x="21413" y="11590"/>
                <wp:lineTo x="21413" y="6322"/>
                <wp:lineTo x="11680" y="0"/>
                <wp:lineTo x="0" y="0"/>
              </wp:wrapPolygon>
            </wp:wrapTight>
            <wp:docPr id="1" name="Obrázok 1" descr="cid:image001.png@01D6F2FC.E4E93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6F2FC.E4E93F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568" w:rsidRPr="004308E5"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  <w:drawing>
          <wp:anchor distT="0" distB="0" distL="114300" distR="114300" simplePos="0" relativeHeight="251660288" behindDoc="1" locked="0" layoutInCell="1" allowOverlap="1" wp14:anchorId="38E912FC" wp14:editId="608A1421">
            <wp:simplePos x="0" y="0"/>
            <wp:positionH relativeFrom="column">
              <wp:posOffset>6453505</wp:posOffset>
            </wp:positionH>
            <wp:positionV relativeFrom="paragraph">
              <wp:posOffset>-816610</wp:posOffset>
            </wp:positionV>
            <wp:extent cx="1638300" cy="457200"/>
            <wp:effectExtent l="0" t="0" r="0" b="0"/>
            <wp:wrapTight wrapText="bothSides">
              <wp:wrapPolygon edited="0">
                <wp:start x="0" y="0"/>
                <wp:lineTo x="0" y="20700"/>
                <wp:lineTo x="21349" y="20700"/>
                <wp:lineTo x="21349" y="0"/>
                <wp:lineTo x="0" y="0"/>
              </wp:wrapPolygon>
            </wp:wrapTight>
            <wp:docPr id="3" name="Obrázok 2" descr="http://www.euroregion-tatry.eu/_pliki/flaga_UE+unia_europejska_EFRR_z_lewej_SK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uroregion-tatry.eu/_pliki/flaga_UE+unia_europejska_EFRR_z_lewej_SK%20smal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8E5" w:rsidRPr="004308E5">
        <w:rPr>
          <w:rFonts w:ascii="Arial Narrow" w:eastAsia="Times New Roman" w:hAnsi="Arial Narrow" w:cs="Times New Roman"/>
          <w:i/>
          <w:sz w:val="20"/>
          <w:szCs w:val="20"/>
        </w:rPr>
        <w:tab/>
      </w:r>
      <w:r w:rsidR="004308E5" w:rsidRPr="004308E5">
        <w:rPr>
          <w:rFonts w:ascii="Arial Narrow" w:eastAsia="Times New Roman" w:hAnsi="Arial Narrow" w:cs="Times New Roman"/>
          <w:i/>
          <w:sz w:val="20"/>
          <w:szCs w:val="20"/>
        </w:rPr>
        <w:tab/>
      </w:r>
    </w:p>
    <w:p w:rsidR="004308E5" w:rsidRDefault="004308E5" w:rsidP="004308E5">
      <w:pPr>
        <w:ind w:left="6372" w:firstLine="708"/>
        <w:rPr>
          <w:rFonts w:ascii="Times New Roman" w:eastAsia="Times New Roman" w:hAnsi="Times New Roman" w:cs="Times New Roman"/>
          <w:i/>
          <w:szCs w:val="20"/>
        </w:rPr>
      </w:pPr>
    </w:p>
    <w:p w:rsidR="004308E5" w:rsidRPr="00387357" w:rsidRDefault="004308E5" w:rsidP="004308E5">
      <w:pPr>
        <w:ind w:left="-426"/>
        <w:jc w:val="center"/>
        <w:rPr>
          <w:rFonts w:cstheme="minorHAnsi"/>
          <w:b/>
          <w:sz w:val="28"/>
        </w:rPr>
      </w:pPr>
      <w:r w:rsidRPr="00387357">
        <w:rPr>
          <w:rFonts w:cstheme="minorHAnsi"/>
          <w:b/>
          <w:sz w:val="28"/>
        </w:rPr>
        <w:t>Špecifikácia rozsahu oprávnenej aktivity a oprávnených výdavkov</w:t>
      </w:r>
    </w:p>
    <w:p w:rsidR="004308E5" w:rsidRPr="009B0208" w:rsidRDefault="004308E5" w:rsidP="004308E5">
      <w:pPr>
        <w:ind w:left="-426"/>
        <w:jc w:val="both"/>
        <w:rPr>
          <w:rFonts w:cstheme="minorHAnsi"/>
        </w:rPr>
      </w:pPr>
    </w:p>
    <w:p w:rsidR="004308E5" w:rsidRPr="009B0208" w:rsidRDefault="004308E5" w:rsidP="004308E5">
      <w:pPr>
        <w:ind w:left="-426"/>
        <w:jc w:val="both"/>
        <w:rPr>
          <w:rFonts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4308E5" w:rsidRPr="009B0208" w:rsidTr="00E45694">
        <w:tc>
          <w:tcPr>
            <w:tcW w:w="14601" w:type="dxa"/>
            <w:shd w:val="clear" w:color="auto" w:fill="A6A6A6" w:themeFill="background1" w:themeFillShade="A6"/>
          </w:tcPr>
          <w:p w:rsidR="004308E5" w:rsidRPr="009B0208" w:rsidRDefault="004308E5" w:rsidP="00E45694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:rsidR="004308E5" w:rsidRPr="009B0208" w:rsidRDefault="004308E5" w:rsidP="00E45694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:rsidR="004308E5" w:rsidRPr="009B0208" w:rsidRDefault="004308E5" w:rsidP="00E45694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1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1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:rsidR="004308E5" w:rsidRPr="009B0208" w:rsidRDefault="004308E5" w:rsidP="00E45694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:rsidR="004308E5" w:rsidRPr="009B0208" w:rsidRDefault="004308E5" w:rsidP="00E45694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:rsidR="004308E5" w:rsidRPr="00D41226" w:rsidRDefault="004308E5" w:rsidP="00E45694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je povinný zostaviť rozpočet projektu, pričom ako oprávnené výdavky si môže nárokovať len tie, ktoré spadajú do nižšie uvedené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v rozpočte projektu vecne odôvodní, že jeho výdavky spadajú do uvedeného rámca a tiež zdôvodní ich potrebu, resp. nevyhnutnosť pre úspešnú realizáciu projektu.</w:t>
            </w:r>
          </w:p>
        </w:tc>
      </w:tr>
    </w:tbl>
    <w:p w:rsidR="004308E5" w:rsidRDefault="004308E5" w:rsidP="004308E5">
      <w:pPr>
        <w:ind w:left="-284"/>
        <w:jc w:val="both"/>
        <w:rPr>
          <w:rFonts w:cstheme="minorHAnsi"/>
        </w:rPr>
      </w:pPr>
    </w:p>
    <w:p w:rsidR="005E01AA" w:rsidRDefault="005E01AA" w:rsidP="004308E5">
      <w:pPr>
        <w:ind w:left="-284"/>
        <w:jc w:val="both"/>
        <w:rPr>
          <w:rFonts w:cstheme="minorHAnsi"/>
        </w:rPr>
      </w:pPr>
    </w:p>
    <w:p w:rsidR="005E01AA" w:rsidRPr="009B0208" w:rsidRDefault="005E01AA" w:rsidP="004308E5">
      <w:pPr>
        <w:ind w:left="-284"/>
        <w:jc w:val="both"/>
        <w:rPr>
          <w:rFonts w:cstheme="minorHAnsi"/>
        </w:rPr>
      </w:pPr>
      <w:bookmarkStart w:id="0" w:name="_GoBack"/>
      <w:bookmarkEnd w:id="0"/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780"/>
        <w:gridCol w:w="8930"/>
      </w:tblGrid>
      <w:tr w:rsidR="004308E5" w:rsidRPr="009B0208" w:rsidTr="00E456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EEECE1" w:themeColor="background2"/>
              <w:right w:val="single" w:sz="4" w:space="0" w:color="95B3D7" w:themeColor="accent1" w:themeTint="99"/>
            </w:tcBorders>
            <w:shd w:val="clear" w:color="auto" w:fill="4F81BD"/>
          </w:tcPr>
          <w:p w:rsidR="004308E5" w:rsidRPr="009B0208" w:rsidRDefault="004308E5" w:rsidP="00E45694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5.1.2 - Zlepšenie udržateľných vzťahov medzi vidieckymi rozvojovými centrami a ich zázemím vo verejných službách a vo verejných infraštruktúrach</w:t>
            </w: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EECE1" w:themeColor="background2"/>
              <w:left w:val="single" w:sz="4" w:space="0" w:color="95B3D7" w:themeColor="accent1" w:themeTint="99"/>
              <w:bottom w:val="single" w:sz="4" w:space="0" w:color="EEECE1" w:themeColor="background2"/>
              <w:right w:val="single" w:sz="4" w:space="0" w:color="95B3D7" w:themeColor="accent1" w:themeTint="99"/>
            </w:tcBorders>
            <w:shd w:val="clear" w:color="auto" w:fill="4F81BD"/>
          </w:tcPr>
          <w:p w:rsidR="004308E5" w:rsidRPr="009B0208" w:rsidRDefault="004308E5" w:rsidP="00E45694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Rozvoj základnej infraštruktúry v oblastiach:</w:t>
            </w: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EECE1" w:themeColor="background2"/>
              <w:left w:val="single" w:sz="4" w:space="0" w:color="95B3D7" w:themeColor="accent1" w:themeTint="99"/>
              <w:bottom w:val="single" w:sz="4" w:space="0" w:color="EEECE1" w:themeColor="background2"/>
              <w:right w:val="single" w:sz="4" w:space="0" w:color="95B3D7" w:themeColor="accent1" w:themeTint="99"/>
            </w:tcBorders>
            <w:shd w:val="clear" w:color="auto" w:fill="4F81BD"/>
          </w:tcPr>
          <w:p w:rsidR="004308E5" w:rsidRPr="009B0208" w:rsidRDefault="004308E5" w:rsidP="00E45694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B2. Zvyšovanie bezpečnosti a dostupnosti sídiel</w:t>
            </w: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EECE1" w:themeColor="background2"/>
              <w:left w:val="single" w:sz="4" w:space="0" w:color="95B3D7" w:themeColor="accent1" w:themeTint="99"/>
              <w:bottom w:val="single" w:sz="4" w:space="0" w:color="EEECE1" w:themeColor="background2"/>
              <w:right w:val="single" w:sz="4" w:space="0" w:color="95B3D7" w:themeColor="accent1" w:themeTint="99"/>
            </w:tcBorders>
            <w:shd w:val="clear" w:color="auto" w:fill="4F81BD"/>
          </w:tcPr>
          <w:p w:rsidR="004308E5" w:rsidRPr="009B0208" w:rsidRDefault="004308E5" w:rsidP="00E45694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:rsidR="004308E5" w:rsidRPr="009B0208" w:rsidRDefault="004308E5" w:rsidP="00E45694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výstavba, modernizácia, rekonštrukcia zastávok, staníc, parkovísk, na linkách prepájajúcich obec s mestom, súčasťou môžu byť :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vnútorné a/alebo vonkajšie informačné tabule,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stacionárne informačné systémy,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systémy pre privolanie pomoci v prípade núdze</w:t>
            </w:r>
          </w:p>
          <w:p w:rsidR="004308E5" w:rsidRPr="009B0208" w:rsidRDefault="004308E5" w:rsidP="00E45694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budovanie prvkov a podpora opatrení na zvyšovanie bezpečnosti dopravy v mestách ako: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 alebo rekonštrukcia nadchodov, podchodov,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 alebo rekonštrukcia chodníkov,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odstraňovanie úzkych miest v doprave, 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odstraňovanie bariér, 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prvkov na ochranu zraniteľných účastníkov dopravy - cyklisti, chodci,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vodorovného a zvislého dopravného značenia vrátane svetelnej signalizácie,</w:t>
            </w:r>
          </w:p>
          <w:p w:rsidR="004308E5" w:rsidRPr="009B0208" w:rsidRDefault="004308E5" w:rsidP="00E45694">
            <w:pPr>
              <w:pStyle w:val="Odsekzoznamu"/>
              <w:ind w:left="508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verejného osvetlenia v priamej nadväznosti na bezpečnosť dopravy a jej účastníkov,</w:t>
            </w: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EECE1" w:themeColor="background2"/>
              <w:left w:val="single" w:sz="4" w:space="0" w:color="95B3D7" w:themeColor="accent1" w:themeTint="99"/>
              <w:bottom w:val="single" w:sz="4" w:space="0" w:color="EEECE1" w:themeColor="background2"/>
              <w:right w:val="single" w:sz="4" w:space="0" w:color="95B3D7" w:themeColor="accent1" w:themeTint="99"/>
            </w:tcBorders>
            <w:shd w:val="clear" w:color="auto" w:fill="4F81BD"/>
          </w:tcPr>
          <w:p w:rsidR="004308E5" w:rsidRPr="009B0208" w:rsidRDefault="004308E5" w:rsidP="00E45694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Oprávnené výdavky</w:t>
            </w: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EEECE1" w:themeColor="background2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EEECE1" w:themeColor="background2"/>
            </w:tcBorders>
            <w:shd w:val="clear" w:color="auto" w:fill="4F81BD"/>
          </w:tcPr>
          <w:p w:rsidR="004308E5" w:rsidRPr="009B0208" w:rsidRDefault="004308E5" w:rsidP="00E45694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93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4F81BD"/>
          </w:tcPr>
          <w:p w:rsidR="004308E5" w:rsidRPr="009B0208" w:rsidRDefault="004308E5" w:rsidP="00E45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:rsidR="004308E5" w:rsidRPr="009B0208" w:rsidRDefault="004308E5" w:rsidP="00E45694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013 - Softvér vo výške obstarávacej ceny</w:t>
            </w:r>
          </w:p>
        </w:tc>
        <w:tc>
          <w:tcPr>
            <w:tcW w:w="89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výdavky na obstaranie softvéru vrátane výdavkov na obstaranie licencií súvisiacich s používaním softvéru - napr. riadiaci softvér pre informačné systémy, elektronické informačné tabule a pod. </w:t>
            </w:r>
          </w:p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modernizácia softvéru – napr.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upgrade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(pridávanie nových funkcionalít zhodnocujúcich softvér) pre informačné systémy, elektronické informačné tabule a pod.</w:t>
            </w:r>
          </w:p>
          <w:p w:rsidR="004308E5" w:rsidRPr="009B0208" w:rsidRDefault="004308E5" w:rsidP="00E45694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:rsidR="004308E5" w:rsidRPr="009B0208" w:rsidRDefault="004308E5" w:rsidP="00E45694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softvér sú oprávnené len v kombinácii s oprávnenými výdavkami uvedenými aspoň v rámci jednej inej skupiny výdavkov pre túto oprávnenú aktivitu.</w:t>
            </w: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:rsidR="004308E5" w:rsidRPr="009B0208" w:rsidRDefault="004308E5" w:rsidP="00E45694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9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realizácia nových stavieb,</w:t>
            </w:r>
          </w:p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rekonštrukcie, modernizácia a stavebno-technické úpravy existujúcej infraštruktúry</w:t>
            </w: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:rsidR="004308E5" w:rsidRPr="009B0208" w:rsidRDefault="004308E5" w:rsidP="00E45694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 vecí vo výške obstarávacej ceny</w:t>
            </w:r>
          </w:p>
        </w:tc>
        <w:tc>
          <w:tcPr>
            <w:tcW w:w="89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 softvéru</w:t>
            </w:r>
          </w:p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autobusové zastávky</w:t>
            </w:r>
          </w:p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parkovacie systémy</w:t>
            </w:r>
          </w:p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:rsidR="004308E5" w:rsidRPr="009B0208" w:rsidRDefault="004308E5" w:rsidP="00E45694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lastRenderedPageBreak/>
              <w:t>029  Ostatný dlhodobý hmotný  majetok vo výške obstarávacej ceny</w:t>
            </w:r>
          </w:p>
        </w:tc>
        <w:tc>
          <w:tcPr>
            <w:tcW w:w="89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 softvéru</w:t>
            </w:r>
          </w:p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</w:tbl>
    <w:p w:rsidR="004308E5" w:rsidRPr="004308E5" w:rsidRDefault="004308E5" w:rsidP="004308E5">
      <w:pPr>
        <w:ind w:left="6372" w:firstLine="708"/>
        <w:rPr>
          <w:i/>
        </w:rPr>
      </w:pPr>
    </w:p>
    <w:sectPr w:rsidR="004308E5" w:rsidRPr="004308E5" w:rsidSect="004308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4A" w:rsidRDefault="00550C4A" w:rsidP="004308E5">
      <w:pPr>
        <w:spacing w:after="0" w:line="240" w:lineRule="auto"/>
      </w:pPr>
      <w:r>
        <w:separator/>
      </w:r>
    </w:p>
  </w:endnote>
  <w:endnote w:type="continuationSeparator" w:id="0">
    <w:p w:rsidR="00550C4A" w:rsidRDefault="00550C4A" w:rsidP="0043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4A" w:rsidRDefault="00550C4A" w:rsidP="004308E5">
      <w:pPr>
        <w:spacing w:after="0" w:line="240" w:lineRule="auto"/>
      </w:pPr>
      <w:r>
        <w:separator/>
      </w:r>
    </w:p>
  </w:footnote>
  <w:footnote w:type="continuationSeparator" w:id="0">
    <w:p w:rsidR="00550C4A" w:rsidRDefault="00550C4A" w:rsidP="004308E5">
      <w:pPr>
        <w:spacing w:after="0" w:line="240" w:lineRule="auto"/>
      </w:pPr>
      <w:r>
        <w:continuationSeparator/>
      </w:r>
    </w:p>
  </w:footnote>
  <w:footnote w:id="1">
    <w:p w:rsidR="004308E5" w:rsidRDefault="004308E5" w:rsidP="004308E5">
      <w:pPr>
        <w:pStyle w:val="Textpoznmkypodiarou"/>
        <w:ind w:left="170" w:hanging="170"/>
        <w:jc w:val="both"/>
        <w:rPr>
          <w:rFonts w:ascii="Arial Narrow" w:hAnsi="Arial Narrow"/>
          <w:szCs w:val="18"/>
          <w:shd w:val="clear" w:color="auto" w:fill="FFFFFF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  <w:p w:rsidR="004308E5" w:rsidRDefault="004308E5" w:rsidP="004308E5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E5"/>
    <w:rsid w:val="00041EEE"/>
    <w:rsid w:val="000636BB"/>
    <w:rsid w:val="004308E5"/>
    <w:rsid w:val="00550C4A"/>
    <w:rsid w:val="005E01AA"/>
    <w:rsid w:val="00AD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4308E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4308E5"/>
    <w:rPr>
      <w:rFonts w:ascii="Times New Roman" w:eastAsia="Times New Roman" w:hAnsi="Times New Roman" w:cs="Times New Roman"/>
      <w:sz w:val="18"/>
      <w:szCs w:val="20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4308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table" w:styleId="Mriekatabuky">
    <w:name w:val="Table Grid"/>
    <w:basedOn w:val="Normlnatabuka"/>
    <w:uiPriority w:val="59"/>
    <w:rsid w:val="004308E5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4308E5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4308E5"/>
    <w:rPr>
      <w:rFonts w:ascii="Times New Roman" w:eastAsia="Times New Roman" w:hAnsi="Times New Roman" w:cs="Times New Roman"/>
      <w:szCs w:val="20"/>
    </w:rPr>
  </w:style>
  <w:style w:type="character" w:customStyle="1" w:styleId="apple-converted-space">
    <w:name w:val="apple-converted-space"/>
    <w:basedOn w:val="Predvolenpsmoodseku"/>
    <w:rsid w:val="004308E5"/>
  </w:style>
  <w:style w:type="character" w:styleId="Zvraznenie">
    <w:name w:val="Emphasis"/>
    <w:basedOn w:val="Predvolenpsmoodseku"/>
    <w:uiPriority w:val="20"/>
    <w:qFormat/>
    <w:rsid w:val="004308E5"/>
    <w:rPr>
      <w:i/>
      <w:iCs/>
    </w:rPr>
  </w:style>
  <w:style w:type="paragraph" w:customStyle="1" w:styleId="Default">
    <w:name w:val="Default"/>
    <w:rsid w:val="004308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4308E5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Hlavika">
    <w:name w:val="header"/>
    <w:basedOn w:val="Normlny"/>
    <w:link w:val="HlavikaChar"/>
    <w:uiPriority w:val="99"/>
    <w:unhideWhenUsed/>
    <w:rsid w:val="00AD0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0568"/>
  </w:style>
  <w:style w:type="paragraph" w:styleId="Pta">
    <w:name w:val="footer"/>
    <w:basedOn w:val="Normlny"/>
    <w:link w:val="PtaChar"/>
    <w:uiPriority w:val="99"/>
    <w:unhideWhenUsed/>
    <w:rsid w:val="00AD0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0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4308E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4308E5"/>
    <w:rPr>
      <w:rFonts w:ascii="Times New Roman" w:eastAsia="Times New Roman" w:hAnsi="Times New Roman" w:cs="Times New Roman"/>
      <w:sz w:val="18"/>
      <w:szCs w:val="20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4308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table" w:styleId="Mriekatabuky">
    <w:name w:val="Table Grid"/>
    <w:basedOn w:val="Normlnatabuka"/>
    <w:uiPriority w:val="59"/>
    <w:rsid w:val="004308E5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4308E5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4308E5"/>
    <w:rPr>
      <w:rFonts w:ascii="Times New Roman" w:eastAsia="Times New Roman" w:hAnsi="Times New Roman" w:cs="Times New Roman"/>
      <w:szCs w:val="20"/>
    </w:rPr>
  </w:style>
  <w:style w:type="character" w:customStyle="1" w:styleId="apple-converted-space">
    <w:name w:val="apple-converted-space"/>
    <w:basedOn w:val="Predvolenpsmoodseku"/>
    <w:rsid w:val="004308E5"/>
  </w:style>
  <w:style w:type="character" w:styleId="Zvraznenie">
    <w:name w:val="Emphasis"/>
    <w:basedOn w:val="Predvolenpsmoodseku"/>
    <w:uiPriority w:val="20"/>
    <w:qFormat/>
    <w:rsid w:val="004308E5"/>
    <w:rPr>
      <w:i/>
      <w:iCs/>
    </w:rPr>
  </w:style>
  <w:style w:type="paragraph" w:customStyle="1" w:styleId="Default">
    <w:name w:val="Default"/>
    <w:rsid w:val="004308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4308E5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Hlavika">
    <w:name w:val="header"/>
    <w:basedOn w:val="Normlny"/>
    <w:link w:val="HlavikaChar"/>
    <w:uiPriority w:val="99"/>
    <w:unhideWhenUsed/>
    <w:rsid w:val="00AD0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0568"/>
  </w:style>
  <w:style w:type="paragraph" w:styleId="Pta">
    <w:name w:val="footer"/>
    <w:basedOn w:val="Normlny"/>
    <w:link w:val="PtaChar"/>
    <w:uiPriority w:val="99"/>
    <w:unhideWhenUsed/>
    <w:rsid w:val="00AD0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0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cid:image001.png@01D6F2FC.E4E93F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Užívateľ</cp:lastModifiedBy>
  <cp:revision>2</cp:revision>
  <dcterms:created xsi:type="dcterms:W3CDTF">2021-02-28T19:16:00Z</dcterms:created>
  <dcterms:modified xsi:type="dcterms:W3CDTF">2021-02-28T19:16:00Z</dcterms:modified>
</cp:coreProperties>
</file>